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C" w:rsidRDefault="00B4320C" w:rsidP="00B4320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2420"/>
                <wp:lineTo x="3025" y="7261"/>
                <wp:lineTo x="3630" y="19361"/>
                <wp:lineTo x="4235" y="19361"/>
                <wp:lineTo x="17546" y="19361"/>
                <wp:lineTo x="19966" y="19361"/>
                <wp:lineTo x="20571" y="16336"/>
                <wp:lineTo x="20571" y="10286"/>
                <wp:lineTo x="18151" y="7261"/>
                <wp:lineTo x="12706" y="2420"/>
                <wp:lineTo x="8471" y="242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20C" w:rsidRPr="00030687" w:rsidRDefault="00B4320C" w:rsidP="00B4320C">
      <w:pPr>
        <w:spacing w:after="0" w:line="240" w:lineRule="auto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  <w:r w:rsidRPr="00DC3DB6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"/>
        </w:pict>
      </w:r>
    </w:p>
    <w:p w:rsidR="00B4320C" w:rsidRPr="00A91256" w:rsidRDefault="00B4320C" w:rsidP="00B432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91256">
        <w:rPr>
          <w:rFonts w:ascii="Times New Roman" w:hAnsi="Times New Roman"/>
          <w:b/>
          <w:sz w:val="28"/>
          <w:szCs w:val="28"/>
        </w:rPr>
        <w:t>Изменения в деятельности НПФ с 1 января 2019 года</w:t>
      </w:r>
    </w:p>
    <w:bookmarkEnd w:id="0"/>
    <w:p w:rsidR="00B4320C" w:rsidRPr="00A91256" w:rsidRDefault="00B4320C" w:rsidP="00B4320C">
      <w:pPr>
        <w:spacing w:after="0" w:line="240" w:lineRule="auto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4320C" w:rsidRPr="00A91256" w:rsidRDefault="00B4320C" w:rsidP="00B432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1256">
        <w:rPr>
          <w:rFonts w:ascii="Times New Roman" w:hAnsi="Times New Roman"/>
          <w:sz w:val="28"/>
          <w:szCs w:val="28"/>
        </w:rPr>
        <w:t>С 1 января 2019 года в деятельность негосударственных пенсионных фондов внесены существенные изменения. Они направлены на то, чтобы повысить сохранность средств пенсионных накоплений и сократить число неправомерных переводов, осуществляемых незаконным путем.</w:t>
      </w:r>
    </w:p>
    <w:p w:rsidR="00B4320C" w:rsidRPr="00A91256" w:rsidRDefault="00B4320C" w:rsidP="00B432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1256">
        <w:rPr>
          <w:rFonts w:ascii="Times New Roman" w:hAnsi="Times New Roman"/>
          <w:sz w:val="28"/>
          <w:szCs w:val="28"/>
        </w:rPr>
        <w:t xml:space="preserve">В частности, в соответствии с изменениями ограничен перечень каналов, через которые можно подать заявление о переводе пенсионных накоплений: </w:t>
      </w:r>
    </w:p>
    <w:p w:rsidR="00B4320C" w:rsidRPr="00A91256" w:rsidRDefault="00B4320C" w:rsidP="00B432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1256">
        <w:rPr>
          <w:rFonts w:ascii="Times New Roman" w:hAnsi="Times New Roman"/>
          <w:sz w:val="28"/>
          <w:szCs w:val="28"/>
        </w:rPr>
        <w:t xml:space="preserve">– путем личного обращения гражданина (его представителя) в клиентскую службу Управления ПФР, </w:t>
      </w:r>
    </w:p>
    <w:p w:rsidR="00B4320C" w:rsidRPr="00A91256" w:rsidRDefault="00B4320C" w:rsidP="00B432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1256">
        <w:rPr>
          <w:rFonts w:ascii="Times New Roman" w:hAnsi="Times New Roman"/>
          <w:sz w:val="28"/>
          <w:szCs w:val="28"/>
        </w:rPr>
        <w:t xml:space="preserve">– через личный кабинет на портале </w:t>
      </w:r>
      <w:proofErr w:type="spellStart"/>
      <w:r w:rsidRPr="00A9125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91256">
        <w:rPr>
          <w:rFonts w:ascii="Times New Roman" w:hAnsi="Times New Roman"/>
          <w:sz w:val="28"/>
          <w:szCs w:val="28"/>
        </w:rPr>
        <w:t xml:space="preserve">. </w:t>
      </w:r>
    </w:p>
    <w:p w:rsidR="00B4320C" w:rsidRPr="00A91256" w:rsidRDefault="00B4320C" w:rsidP="00B432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1256">
        <w:rPr>
          <w:rFonts w:ascii="Times New Roman" w:hAnsi="Times New Roman"/>
          <w:sz w:val="28"/>
          <w:szCs w:val="28"/>
        </w:rPr>
        <w:t xml:space="preserve">Документы, направленные по почте или курьером, с этого года к рассмотрению не принимаются. </w:t>
      </w:r>
    </w:p>
    <w:p w:rsidR="00B4320C" w:rsidRPr="00A91256" w:rsidRDefault="00B4320C" w:rsidP="00B432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1256">
        <w:rPr>
          <w:rFonts w:ascii="Times New Roman" w:hAnsi="Times New Roman"/>
          <w:sz w:val="28"/>
          <w:szCs w:val="28"/>
        </w:rPr>
        <w:t xml:space="preserve">Независимо от того, какой из двух каналов подачи заявления выбран, с этого года гражданину в обязательном порядке предоставляется информация о потере инвестиционного дохода, которая происходит при досрочном переводе пенсионных накоплений (до истечения пятилетнего периода нахождения средств в одном фонде). Сумма убытка рассчитывается в каждом конкретном случае и отображается в уведомлении, которое вручается  гражданину (его представителю) при подаче заявления о досрочном переходе. </w:t>
      </w:r>
    </w:p>
    <w:p w:rsidR="00B4320C" w:rsidRPr="00A91256" w:rsidRDefault="00B4320C" w:rsidP="00B432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1256">
        <w:rPr>
          <w:rFonts w:ascii="Times New Roman" w:hAnsi="Times New Roman"/>
          <w:sz w:val="28"/>
          <w:szCs w:val="28"/>
        </w:rPr>
        <w:t>Еще одно нововведение касается сроков подачи заявления. Если раньше оно принималось в течение всего года, то теперь это происходит до 1 декабря. Кроме этого, у гражданина с этого года появилась возможность подать уведомление об отказе от смены страховщика. Новый документ подается застрахованным лицом не позднее 31 декабря года, предшествующего году, в котором должно было быть удовлетворено ранее поданное заявление о переводе средств пенсионных накоплений.</w:t>
      </w:r>
    </w:p>
    <w:p w:rsidR="00B4320C" w:rsidRPr="00A91256" w:rsidRDefault="00B4320C" w:rsidP="00B432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1256">
        <w:rPr>
          <w:rFonts w:ascii="Times New Roman" w:hAnsi="Times New Roman"/>
          <w:sz w:val="28"/>
          <w:szCs w:val="28"/>
        </w:rPr>
        <w:t xml:space="preserve">При этом в личном кабинете на сайте Пенсионного фонда России по-прежнему остается возможность сменить управляющую компанию, сохранив ПФР в качестве своего страховщика. Так же, как и при подаче заявления через портал </w:t>
      </w:r>
      <w:proofErr w:type="spellStart"/>
      <w:r w:rsidRPr="00A9125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91256">
        <w:rPr>
          <w:rFonts w:ascii="Times New Roman" w:hAnsi="Times New Roman"/>
          <w:sz w:val="28"/>
          <w:szCs w:val="28"/>
        </w:rPr>
        <w:t>, для этого потребуется электронная подпись. Если пенсионные накопления формируются в ПФР, менять управляющую компанию или инвестиционный портфель управляющей компании можно каждый год, не теряя при этом инвестиционного дохода.</w:t>
      </w:r>
    </w:p>
    <w:p w:rsidR="00B4320C" w:rsidRPr="00A91256" w:rsidRDefault="00B4320C" w:rsidP="00B4320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91256">
        <w:rPr>
          <w:rFonts w:ascii="Times New Roman" w:hAnsi="Times New Roman"/>
          <w:sz w:val="28"/>
          <w:szCs w:val="28"/>
        </w:rPr>
        <w:t>Сроки подведения итогов переходной кампании остались прежними. Решение по принятым в течение 2019 года заявлениям граждан будет вынесено до 1 марта 2020 года (в случае досрочного перехода) либо до 1 марта года, в котором истекает пятилетний срок нахождения средств в одном фонде (в случае срочного перехода, происходящего без потери инвестиционного дохода). Сами пенсионные накопления переводятся в новый фонд до 31 марта.</w:t>
      </w:r>
    </w:p>
    <w:p w:rsidR="00AC52C9" w:rsidRDefault="00AC52C9"/>
    <w:sectPr w:rsidR="00AC52C9" w:rsidSect="004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0C"/>
    <w:rsid w:val="009A3FF0"/>
    <w:rsid w:val="00AC52C9"/>
    <w:rsid w:val="00B4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20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B432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2019-09-19T13:27:00Z</dcterms:created>
  <dcterms:modified xsi:type="dcterms:W3CDTF">2019-09-19T13:59:00Z</dcterms:modified>
</cp:coreProperties>
</file>